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27278DFE" w14:textId="77777777" w:rsidR="00153A22" w:rsidRDefault="00CB7FC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Przedszkole nr 10</w:t>
            </w:r>
          </w:p>
          <w:p w14:paraId="1C3EEACC" w14:textId="77777777" w:rsidR="00CB7FC4" w:rsidRDefault="00CB7FC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 – 300 Lębork</w:t>
            </w:r>
          </w:p>
          <w:p w14:paraId="56944402" w14:textId="5E430331" w:rsidR="00CB7FC4" w:rsidRPr="0074622A" w:rsidRDefault="00CB7FC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Ul. Krzywoustego 6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72523D42" w:rsidR="00945AC5" w:rsidRPr="00FA0B6A" w:rsidRDefault="00CB7FC4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0B6A">
              <w:rPr>
                <w:rFonts w:ascii="Times New Roman" w:hAnsi="Times New Roman"/>
                <w:b/>
                <w:sz w:val="20"/>
                <w:szCs w:val="20"/>
              </w:rPr>
              <w:t>771601188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0209134" w:rsidR="009F7801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p w14:paraId="5C6F52ED" w14:textId="77777777" w:rsidR="00FA0B6A" w:rsidRDefault="00FA0B6A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20C4867D" w14:textId="08D11C3E" w:rsidR="00CB7FC4" w:rsidRPr="00FA0B6A" w:rsidRDefault="00CB7FC4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FA0B6A">
        <w:rPr>
          <w:rFonts w:ascii="Times New Roman" w:hAnsi="Times New Roman"/>
          <w:b/>
          <w:iCs/>
          <w:sz w:val="19"/>
          <w:szCs w:val="19"/>
        </w:rPr>
        <w:t>DYREKTOR@PRZEDSZKOLE10.LEBORK.PL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3994"/>
        <w:gridCol w:w="3050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2FE69B92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 ………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="00CB7FC4" w:rsidRPr="00FA0B6A">
              <w:rPr>
                <w:rFonts w:ascii="Times New Roman" w:hAnsi="Times New Roman"/>
                <w:b/>
                <w:sz w:val="21"/>
                <w:szCs w:val="21"/>
              </w:rPr>
              <w:t>POMORSKIE</w:t>
            </w:r>
            <w:r w:rsidRPr="00FA0B6A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689DC56F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 ……</w:t>
            </w:r>
            <w:r w:rsidR="00CB7FC4" w:rsidRPr="00FA0B6A">
              <w:rPr>
                <w:rFonts w:ascii="Times New Roman" w:hAnsi="Times New Roman"/>
                <w:b/>
                <w:sz w:val="21"/>
                <w:szCs w:val="21"/>
              </w:rPr>
              <w:t>LĘBORSKI</w:t>
            </w:r>
            <w:r w:rsidRPr="00FA0B6A">
              <w:rPr>
                <w:rFonts w:ascii="Times New Roman" w:hAnsi="Times New Roman"/>
                <w:b/>
                <w:sz w:val="21"/>
                <w:szCs w:val="21"/>
              </w:rPr>
              <w:t>……………</w:t>
            </w:r>
            <w:r w:rsidR="007D26DD" w:rsidRPr="00FA0B6A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Pr="00FA0B6A">
              <w:rPr>
                <w:rFonts w:ascii="Times New Roman" w:hAnsi="Times New Roman"/>
                <w:b/>
                <w:sz w:val="21"/>
                <w:szCs w:val="21"/>
              </w:rPr>
              <w:t>…………….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7A35FB1E" w:rsidR="00B71689" w:rsidRPr="0074622A" w:rsidRDefault="00FA0B6A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CB7FC4" w:rsidRPr="00FA0B6A">
              <w:rPr>
                <w:rFonts w:ascii="Times New Roman" w:hAnsi="Times New Roman"/>
                <w:b/>
                <w:sz w:val="21"/>
                <w:szCs w:val="21"/>
              </w:rPr>
              <w:t>Miasto Lębork</w:t>
            </w:r>
            <w:r w:rsidR="005E2FF6" w:rsidRPr="00FA0B6A">
              <w:rPr>
                <w:rFonts w:ascii="Times New Roman" w:hAnsi="Times New Roman"/>
                <w:b/>
                <w:sz w:val="21"/>
                <w:szCs w:val="21"/>
              </w:rPr>
              <w:t>……………………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4129EAA6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0925550C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3376BAC1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13FCDCD7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67B8B970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4CC3F458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5AE92461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FA0B6A">
            <w:pPr>
              <w:spacing w:before="20" w:after="0" w:line="209" w:lineRule="auto"/>
              <w:jc w:val="center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2882358E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3CB575E3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25102E03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7CD065C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66C5A7A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</w:t>
            </w:r>
            <w:r w:rsidR="00CB7FC4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24D61A15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0CF8FDCF" w:rsidR="00AE37D9" w:rsidRPr="0074622A" w:rsidRDefault="00FA0B6A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0F47C29E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2839A359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55AA98DF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3090FF86" w:rsidR="008E2696" w:rsidRPr="0074622A" w:rsidRDefault="00FA0B6A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>
              <w:rPr>
                <w:rFonts w:ascii="Times New Roman" w:hAnsi="Times New Roman"/>
                <w:i/>
                <w:sz w:val="8"/>
                <w:szCs w:val="8"/>
              </w:rPr>
              <w:t>1</w:t>
            </w:r>
          </w:p>
          <w:p w14:paraId="7D24AAA1" w14:textId="03335743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5EB62FE6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="00FA0B6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0BF350CA" w:rsidR="00460B99" w:rsidRPr="00FA0B6A" w:rsidRDefault="00FA0B6A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0B6A">
              <w:rPr>
                <w:rFonts w:ascii="Times New Roman" w:hAnsi="Times New Roman"/>
                <w:b/>
                <w:sz w:val="18"/>
                <w:szCs w:val="18"/>
              </w:rPr>
              <w:t>https//.www.przedszkole10.lebork.pl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2ABB46E9" w:rsidR="00460B99" w:rsidRPr="0074622A" w:rsidRDefault="00FA0B6A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1AC3A0A4" w:rsidR="009A09A3" w:rsidRPr="0074622A" w:rsidRDefault="00FA0B6A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11AAB5F2" w:rsidR="009A09A3" w:rsidRPr="0074622A" w:rsidRDefault="00FA0B6A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7BFC42B0" w:rsidR="009A09A3" w:rsidRPr="0074622A" w:rsidRDefault="00FA0B6A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4DCA8F33" w:rsidR="009A09A3" w:rsidRPr="0074622A" w:rsidRDefault="00FA0B6A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19599AE" w:rsidR="009A09A3" w:rsidRPr="0074622A" w:rsidRDefault="00FA0B6A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BB7B3A0" w:rsidR="009A09A3" w:rsidRPr="0074622A" w:rsidRDefault="00FA0B6A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27C1A08B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A0B6A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13C27AED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A0B6A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278DC7A6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A0B6A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07244E76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A0B6A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53231E96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A0B6A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441ADF03" w:rsidR="00F64545" w:rsidRPr="0074622A" w:rsidRDefault="00FA0B6A" w:rsidP="00FA0B6A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2CFAE0AC" w:rsidR="00F64545" w:rsidRPr="0074622A" w:rsidRDefault="00FA0B6A" w:rsidP="00FA0B6A">
            <w:pPr>
              <w:tabs>
                <w:tab w:val="right" w:pos="2845"/>
              </w:tabs>
              <w:spacing w:before="5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65A0C554" w:rsidR="00F64545" w:rsidRPr="0074622A" w:rsidRDefault="00FA0B6A" w:rsidP="00FA0B6A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299C8A9C" w:rsidR="00F64545" w:rsidRPr="0074622A" w:rsidRDefault="00FA0B6A" w:rsidP="00FA0B6A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5C01FF93"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FA0B6A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3F261AE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FA0B6A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bookmarkStart w:id="10" w:name="_Hlk184648810"/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bookmarkEnd w:id="11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B047E1" w14:textId="44B6B8BF" w:rsidR="000F3625" w:rsidRPr="006E2BD7" w:rsidRDefault="002C2EE0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 xml:space="preserve">wniosków o charakterze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>łączonym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 xml:space="preserve">tj. 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obejmujących równocześnie dostępność architektoniczną </w:t>
            </w:r>
          </w:p>
          <w:p w14:paraId="108A4757" w14:textId="26E559BC" w:rsidR="00D2135A" w:rsidRPr="0074622A" w:rsidRDefault="002C2EE0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>i informacyjno-komunikacyjną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40F864E1" w:rsidR="00686EDA" w:rsidRPr="0074622A" w:rsidRDefault="002C2EE0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 xml:space="preserve">wniosków o charakterze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>łączonym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 xml:space="preserve">tj. 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>obejmujących równocześnie dostępność architektoniczną i informacyjno-komunikacyjną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7C0D8DEC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A37CCD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2301E534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285C58B3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47626C8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5EED77FB" w:rsidR="00686EDA" w:rsidRPr="0074622A" w:rsidRDefault="00A37CCD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0</w:t>
            </w: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636FA691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bookmarkStart w:id="13" w:name="_GoBack"/>
            <w:bookmarkEnd w:id="13"/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6DB86088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  <w:r w:rsidR="00A37CCD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0A2D280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442D990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6742249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1672D125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67794E1E" w:rsidR="008F642B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p w14:paraId="33B6D4F4" w14:textId="5AD98504" w:rsidR="00A37CCD" w:rsidRPr="00A37CCD" w:rsidRDefault="00A37CCD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b/>
          <w:i/>
          <w:sz w:val="16"/>
          <w:szCs w:val="16"/>
        </w:rPr>
      </w:pPr>
      <w:r w:rsidRPr="00A37CCD">
        <w:rPr>
          <w:rFonts w:ascii="Times New Roman" w:hAnsi="Times New Roman"/>
          <w:b/>
          <w:i/>
          <w:sz w:val="16"/>
          <w:szCs w:val="16"/>
        </w:rPr>
        <w:t>DYREKTOR@PRZEDSZKOLE10.LEBORK.PL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7B35C3BE" w:rsidR="00FF3ED3" w:rsidRPr="0074622A" w:rsidRDefault="00A37CCD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798 273 200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50B27794" w:rsidR="00FF3ED3" w:rsidRPr="0074622A" w:rsidRDefault="00A37CCD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Lębork, 11.03.2025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4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4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5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5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6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6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CB7FC4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7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7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60FE" w14:textId="77777777" w:rsidR="00AD3974" w:rsidRDefault="00AD3974" w:rsidP="005840AE">
      <w:pPr>
        <w:spacing w:after="0" w:line="240" w:lineRule="auto"/>
      </w:pPr>
      <w:r>
        <w:separator/>
      </w:r>
    </w:p>
  </w:endnote>
  <w:endnote w:type="continuationSeparator" w:id="0">
    <w:p w14:paraId="14047FCB" w14:textId="77777777" w:rsidR="00AD3974" w:rsidRDefault="00AD3974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90BC1" w14:textId="77777777" w:rsidR="00AD3974" w:rsidRDefault="00AD3974" w:rsidP="005840AE">
      <w:pPr>
        <w:spacing w:after="0" w:line="240" w:lineRule="auto"/>
      </w:pPr>
      <w:r>
        <w:separator/>
      </w:r>
    </w:p>
  </w:footnote>
  <w:footnote w:type="continuationSeparator" w:id="0">
    <w:p w14:paraId="04B00FA6" w14:textId="77777777" w:rsidR="00AD3974" w:rsidRDefault="00AD3974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3CEA" w14:textId="09D86303" w:rsidR="00CB7FC4" w:rsidRPr="00290310" w:rsidRDefault="00CB7FC4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A37CCD" w:rsidRPr="00A37CCD">
          <w:rPr>
            <w:rFonts w:ascii="Times New Roman" w:hAnsi="Times New Roman"/>
            <w:noProof/>
            <w:lang w:val="pl-PL"/>
          </w:rPr>
          <w:t>1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CB7FC4" w:rsidRPr="008F642B" w:rsidRDefault="00CB7FC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3625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2EE0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B0B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2AB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25DD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6763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BD7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3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2AF7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37CCD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974"/>
    <w:rsid w:val="00AD3B70"/>
    <w:rsid w:val="00AD3EFC"/>
    <w:rsid w:val="00AD4434"/>
    <w:rsid w:val="00AD479B"/>
    <w:rsid w:val="00AD5862"/>
    <w:rsid w:val="00AE2377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442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B7FC4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0B6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3B8CD2-2871-4FA8-8F65-805F4232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6293</Words>
  <Characters>37759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Dell</cp:lastModifiedBy>
  <cp:revision>2</cp:revision>
  <cp:lastPrinted>2024-05-20T08:37:00Z</cp:lastPrinted>
  <dcterms:created xsi:type="dcterms:W3CDTF">2025-03-11T08:59:00Z</dcterms:created>
  <dcterms:modified xsi:type="dcterms:W3CDTF">2025-03-11T08:59:00Z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